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76" w:rsidRDefault="00291E4E" w:rsidP="00291E4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91E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РЕГЛАМЕНТ</w:t>
      </w:r>
      <w:r w:rsidRPr="00291E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подключения</w:t>
      </w:r>
      <w:r w:rsidRPr="00291E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(технологического</w:t>
      </w:r>
      <w:r w:rsidRPr="00291E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присоединения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) объектов к </w:t>
      </w:r>
      <w:r w:rsidRPr="00291E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централизованной системе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водоснабжения и (или) </w:t>
      </w:r>
      <w:r w:rsidRPr="00291E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водоотведения</w:t>
      </w:r>
      <w:r w:rsidRPr="00291E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МУП «Транспорт</w:t>
      </w:r>
      <w:r w:rsidRPr="00291E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291E4E" w:rsidRDefault="00291E4E" w:rsidP="00291E4E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01538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  <w:r w:rsidR="00E1300F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36522" w:rsidRDefault="00E1300F" w:rsidP="00B36522">
      <w:pP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01538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1.1. Настоящий регламент разработан в соответс</w:t>
      </w:r>
      <w:r w:rsidR="00430D3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твии со следующими нормативными </w:t>
      </w:r>
      <w:r w:rsidRPr="0001538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актами:</w:t>
      </w:r>
      <w:r w:rsidRPr="0001538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Федеральным законом от 07.12.2011 № 416-ФЗ "О водоснабжении и водоотведении";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Постановлением Правительства РФ от 13.02.2006 № 83 «Об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утверждении правил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определения 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предоставления технических условий подключения объекта капитального строительства к сетям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инженерно-технического обеспечения»;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Градостроительным кодексом Российской Федерации" от 29.12.2004. № 190-ФЗ;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Постановлением Правительства РФ от 29.07.2013 № 644 «Об утверждении Правил холодного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водоснабжения и водоотведения и о внесении изменений в некоторые акты Правительства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Российской Федерации»;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Постановлением Правительства РФ от 29.07.2013 № 645 «Об утверждении типовых договоров 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области холодного водоснабжения и водоотведения»;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Постановлением Правительства РФ от 13.05.2013 № 406 «О государственном регулировании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тарифов в сфере водоснабжения и водоотведения»;</w:t>
      </w:r>
      <w:proofErr w:type="gramEnd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015381">
        <w:rPr>
          <w:rFonts w:ascii="TimesNewRomanPSMT" w:eastAsia="Times New Roman" w:hAnsi="TimesNewRomanPSMT" w:cs="Times New Roman"/>
          <w:color w:val="191919"/>
          <w:sz w:val="24"/>
          <w:szCs w:val="24"/>
          <w:lang w:eastAsia="ru-RU"/>
        </w:rPr>
        <w:t>- Приказом ФСТ России от 27 декабря 201</w:t>
      </w:r>
      <w:r>
        <w:rPr>
          <w:rFonts w:ascii="TimesNewRomanPSMT" w:eastAsia="Times New Roman" w:hAnsi="TimesNewRomanPSMT" w:cs="Times New Roman"/>
          <w:color w:val="191919"/>
          <w:sz w:val="24"/>
          <w:szCs w:val="24"/>
          <w:lang w:eastAsia="ru-RU"/>
        </w:rPr>
        <w:t xml:space="preserve">3 года № 1746-э «Об утверждении </w:t>
      </w:r>
      <w:proofErr w:type="gramStart"/>
      <w:r>
        <w:rPr>
          <w:rFonts w:ascii="TimesNewRomanPSMT" w:eastAsia="Times New Roman" w:hAnsi="TimesNewRomanPSMT" w:cs="Times New Roman"/>
          <w:color w:val="191919"/>
          <w:sz w:val="24"/>
          <w:szCs w:val="24"/>
          <w:lang w:eastAsia="ru-RU"/>
        </w:rPr>
        <w:t xml:space="preserve">Методических </w:t>
      </w:r>
      <w:r w:rsidRPr="00015381">
        <w:rPr>
          <w:rFonts w:ascii="TimesNewRomanPSMT" w:eastAsia="Times New Roman" w:hAnsi="TimesNewRomanPSMT" w:cs="Times New Roman"/>
          <w:color w:val="191919"/>
          <w:sz w:val="24"/>
          <w:szCs w:val="24"/>
          <w:lang w:eastAsia="ru-RU"/>
        </w:rPr>
        <w:t>указаний</w:t>
      </w:r>
      <w:r>
        <w:rPr>
          <w:rFonts w:ascii="TimesNewRomanPSMT" w:eastAsia="Times New Roman" w:hAnsi="TimesNewRomanPSMT" w:cs="Times New Roman"/>
          <w:color w:val="191919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191919"/>
          <w:sz w:val="24"/>
          <w:szCs w:val="24"/>
          <w:lang w:eastAsia="ru-RU"/>
        </w:rPr>
        <w:t>по расчету регулируемых тарифов в сфере водоснабжения и водоотведения»</w:t>
      </w:r>
      <w:r w:rsidRPr="00015381">
        <w:rPr>
          <w:rFonts w:ascii="TimesNewRomanPSMT" w:eastAsia="Times New Roman" w:hAnsi="TimesNewRomanPSMT" w:cs="Times New Roman"/>
          <w:color w:val="191919"/>
          <w:sz w:val="24"/>
          <w:szCs w:val="24"/>
          <w:lang w:eastAsia="ru-RU"/>
        </w:rPr>
        <w:br/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Настоящий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регламент определяет требования, порядок действий и 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ответственность </w:t>
      </w:r>
      <w:r w:rsidR="00430D3C" w:rsidRP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Муниципальное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="00430D3C" w:rsidRP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унитарное 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="00430D3C" w:rsidRP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предприятие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="00430D3C" w:rsidRP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«Транспорт»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» 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(далее по тексту –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МУП «Транспорт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») при подключении строящихся,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реконструируемых или построенных, 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но 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не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подключенных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объектов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капитального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строительства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юридических и физических лиц к сетям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водоснабжения и водоотведения, эксплуатируемых 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МУП «ТРАНСПОРТ»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</w:t>
      </w:r>
      <w:proofErr w:type="gramEnd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Действие настоящего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Регламента распространяется на все случаи подключения, том числе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опосредованного, 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 сетям водоснабжения и водоотведения, эксплуатируемых 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МУП «ТРАНСПОРТ»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,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строящихся,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реконструируемых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построенных,   но  не   подключенных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зданий, 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строений,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сооружений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капитального строительства юридических и физических лиц, 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включая 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порядок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предоставления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технических условий,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критерии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определения возможности подключения, подачи и рассмотрения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заявления о подключении, заключения договоров о подключении, выдачи и исполнения технических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условия для присоединения.</w:t>
      </w:r>
      <w:proofErr w:type="gramEnd"/>
    </w:p>
    <w:p w:rsidR="00E1300F" w:rsidRPr="00B36522" w:rsidRDefault="00E1300F" w:rsidP="00B36522">
      <w:pP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01538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proofErr w:type="gramStart"/>
      <w:r w:rsidRPr="0001538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 настоящем регламенте используются следующие понятия:</w:t>
      </w:r>
      <w:r w:rsidRPr="0001538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Pr="00430D3C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предприятие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- 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МУП «ТРАНСПОРТ»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- </w:t>
      </w:r>
      <w:r w:rsidRPr="00430D3C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технические условия (ТУ)</w:t>
      </w:r>
      <w:r w:rsid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-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документ,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определяющий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техническую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возможность подключения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строящихся,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реконструируемых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или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построенных,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но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не подключенных объектов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капитального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строительства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сетям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водоснабжения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 (или) водоотведения;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подключение объекта капитального строительства к сетям инженерно-технического обеспечения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процесс, дающий возможность осуществления подключения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строящихся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(реконструированных)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объектов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капитального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строительства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сетям инженерно-технического обеспечения;</w:t>
      </w:r>
      <w:proofErr w:type="gramEnd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- точка подключени</w:t>
      </w:r>
      <w:r w:rsidR="00B36522" w:rsidRP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я -</w:t>
      </w:r>
      <w:r w:rsid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место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соединения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сетей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инженерно-технического обеспечения с устройствами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сооружениями,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необходимыми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для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присоединения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строящегося (реконструированного)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объекта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капитального строительства к системам водоснабжения и водоотведения;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- объект</w:t>
      </w:r>
      <w:r w:rsid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</w:t>
      </w:r>
      <w:r w:rsidRP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капитального</w:t>
      </w:r>
      <w:r w:rsid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 </w:t>
      </w:r>
      <w:r w:rsidRP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строительства</w:t>
      </w:r>
      <w:r w:rsid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-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здание,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строение,    сооружение,    объекты,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строительство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которых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не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завершено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(объекты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незавершенного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строительства),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за исключением временных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построек, киосков, навесов и других подобных построек;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- </w:t>
      </w:r>
      <w:proofErr w:type="gramStart"/>
      <w:r w:rsidRP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объект индивидуального жилищного строительства -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B36522"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отдельно стоящи</w:t>
      </w:r>
      <w:r w:rsidR="00B36522" w:rsidRPr="00015381"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й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жилой дом с количеством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этажей не более чем три, предназначенный для проживания одной семьи;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B36522" w:rsidRP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- </w:t>
      </w:r>
      <w:r w:rsidRP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заявитель </w:t>
      </w:r>
      <w:r w:rsidR="00B36522" w:rsidRP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-</w:t>
      </w:r>
      <w:r w:rsidR="00B3652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юридическое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или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физическое лицо, направившее в предприятие заявление: на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подключение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объектов капитального строительства, принадлежащих данному лицу на праве</w:t>
      </w:r>
      <w:r w:rsidR="00B3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собственности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или на ином, предусмотренном федеральными законами основании, к водопроводным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 ка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нализационным сетям предприятия.</w:t>
      </w:r>
      <w:proofErr w:type="gramEnd"/>
    </w:p>
    <w:p w:rsidR="00E1300F" w:rsidRDefault="00E1300F" w:rsidP="00E1300F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01538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2. Подготовка и выдача ТУ или информации о плате за подключение объекта капитального</w:t>
      </w:r>
      <w:r w:rsidRPr="0001538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01538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строительства к сетям инженерно-технического обеспечения.</w:t>
      </w:r>
    </w:p>
    <w:p w:rsidR="00E1300F" w:rsidRDefault="00E1300F" w:rsidP="00E1300F">
      <w:pP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2.1. Целью получения ТУ является определение заявителем максимальной нагрузки в точке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подключения.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2.2.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ТУ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для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подключения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планируемых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со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зданию    (реконструкции)     объектов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капитального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строительства (далее - объект) предоставляются по запросам: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органов местного самоуправления;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правообладателей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земельных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участков,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      которых      планируется    создание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(реконструкция)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объектов,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либо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физических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(или) юридических лиц, действующих на основании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доверенности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на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сбор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технических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условий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для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подключения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объекта капитального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строительства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(реконструкции)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системам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инженерно-технического обеспечения, выдаваемого в установленном законом порядке;</w:t>
      </w:r>
      <w:proofErr w:type="gramEnd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2.3. Орган местного самоуправления не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чем за 30 дней до даты принятия решения о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проведении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торгов по продаже права собственности (аренды) земельного участка или о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предоставлении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для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строительства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земельного участка, находящегося в государственной или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муниципальной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собственности, либо решения о предварительном согласовании места размещения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объекта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капитального строительства предоставляет заинтересованным лицам технические условия.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Для получения технических условий, а также информации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 плате за подключение к сетям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инженерно-технического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обеспечения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орган местного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самоуправления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срок не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чем за 45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дней до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даты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принятия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одного из указанных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решений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обращается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 предприятие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случае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если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планируется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подключение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объектов </w:t>
      </w:r>
      <w:r w:rsidR="00B365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капитального строительства к его сетям.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2.4. В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случае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если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правообладатель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земельного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участка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намерен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ос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уществить реконструкцию   объекта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капитального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строительства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или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подключение построенного объекта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капитального строительства к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сетям инженерно-технического обеспечения и если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 xml:space="preserve">технические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условия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для его п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одключения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отсутствовали либо истек срок их действия, а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также</w:t>
      </w:r>
      <w:proofErr w:type="gramEnd"/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если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истек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сро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  действия  технических   условий,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выданных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органом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местного самоуправления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составе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докумен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тов     о     предоставлении     земельного     участка,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правообладатель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целях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определения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необходимой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ему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подключаемой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нагрузки обращается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предприятие,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осуществляющего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эксплуатацию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сетей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инжене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рно-технического   обеспечения,    к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которым планируется подключение реконструированного (пос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троенного) объекта капитального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строительства, для получения технических условий.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2.5.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Запрос органа местного самоуправления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либо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правообладателя земельного участка о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предоставлении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технических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условий или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информации о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плате за п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одключение объекта капитального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строительства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сетям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инженерно-технического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обеспечения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должен содержать: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наименование лица, направившего запрос, его местонахождение и почтовый адрес;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нотариально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заверенные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копии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учредительных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документов,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также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документы, подтверждающие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полномочия лица, подписавшего запрос;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- правоустанавливающие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документы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на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земельный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участок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(для правообладателя земельного</w:t>
      </w:r>
      <w:r w:rsidR="00530C7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участка);</w:t>
      </w:r>
      <w:proofErr w:type="gramEnd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информацию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границах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земельного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участка,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котором планир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уется осуществить строительство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объекта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капитального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строительства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или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котором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рас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положен реконструируемый объект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капитального строительства;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информацию о разрешенном использовании земельного участка;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информацию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предельных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параметрах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разрешенного строите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льства (реконструкции) объектов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капитального строительства, соответствующих данному земельному участку;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необходимые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виды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ресурсов,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получаемых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сетей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инжене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рно-технического обеспечения,  а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также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виды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подключаемых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сетей инженерно-технического обеспе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чения;</w:t>
      </w:r>
      <w:proofErr w:type="gramEnd"/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планируемый  срок  ввода   в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эксплуатацию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объекта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капитального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строительства (при наличии соответствующей информации);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планируемую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величину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необходимой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подключаемой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нагруз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ки (при наличии соответствующей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информации).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2.6. Поступивший запрос подлежит регистрации на предприятии.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2.7. 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МУП «ТРАНСПОРТ»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течение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14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рабочих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дней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даты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получения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зап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роса определяет   и    предоставляет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технические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условия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или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информацию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плате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за подключение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объ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екта    капитального    строительства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сетям инженерно-технического обеспечения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либо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мотивированный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отказ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 выдаче указанных</w:t>
      </w:r>
      <w:r w:rsidR="00F1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условий при отсутствии возможности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подключения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строящег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ося    (реконструируемого)   объекта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капитального строительства к сетям инженерно-технического обеспече</w:t>
      </w:r>
      <w:bookmarkStart w:id="0" w:name="_GoBack"/>
      <w:bookmarkEnd w:id="0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ния.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2.8. Технические условия должны содержать следующие данные: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максимальная нагрузка в возможных точках подключения;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срок подключения объекта капитального строительства к сетям инженерно-технического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обеспечения,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определяемый,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том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числе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зависимости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от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сроков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реализации инвестиционных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программ;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срок действия технических условий, исчисляемый с даты их выдачи и составляющий (за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исключением случаев, предусмотренных законодательством Российской Федерации) при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комплексном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освоении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земельных участков в целях жилищного ст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роительства не менее 5 лет, а в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остальных случаях не менее 3 лет. По истечении этого срока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параметры выданных технических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условий могут быть изменены.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2.9.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Информация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плате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за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подключение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объекта капитального строительства к сетям </w:t>
      </w:r>
      <w:r w:rsidR="00F13884"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инженерно-техническог</w:t>
      </w:r>
      <w:r w:rsidR="00F13884" w:rsidRPr="00015381"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о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обеспечения должна содержать: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данные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тарифе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подключение,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утвержденном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 моме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нт выдачи технических условий в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установленном законодательством Российской Федерации порядке;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дату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окончания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срока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действия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указанного тарифа (если период дейст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вия этого тарифа истекает ранее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окончания срока действия технических условий);</w:t>
      </w:r>
      <w:proofErr w:type="gramEnd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дату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повторного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обращения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за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информацией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 плате за под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ключение (если на момент выдачи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технических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условий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тариф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на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подключение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 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период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их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действия</w:t>
      </w:r>
      <w:r w:rsidR="00F1388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не установлен).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2.10.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случае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обращения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правообладателя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земельного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участка,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который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намерен осуществить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реконструкцию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объекта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капитального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строительства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или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подключение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построенного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объекта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капитального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строительства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сетям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инженерно-технического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обеспечения,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если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технические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условия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его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подключение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отсутствовали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либо истек срок их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действия, или в случае обращения органа местного самоуправлен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ия в целях получения   информации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земельных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участках,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находящихся в границах застроенных тер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риторий, предприятие составляет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технические условия: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- на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основе</w:t>
      </w:r>
      <w:proofErr w:type="gramEnd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анализа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резерва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мощностей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 производству со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ответствующих ресурсов и приему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сточных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вод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пропускной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способности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сетей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инженерно-техни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ческого обеспечения,    а    в    точках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взаимного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присоединения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–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совместно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 организациям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и, осуществляющими     эксплуатацию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технологически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связанных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сетей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инженерно-технического обеспечения с учетом указанного анализа;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- с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учетом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оценки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альтернативных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вариантов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подключения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объектов капитального строит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ельства</w:t>
      </w:r>
      <w:proofErr w:type="gramEnd"/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существующим сетям инженерно-технического обеспечения;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 учетом принятых такой организацией в соответствии с ранее в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ыданными техническими условиями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обязательств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обеспечению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подключения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объектов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кап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итального строительства   к   сетям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инженерно-технического обеспечения,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отношении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сетей водосн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абжения и водоотведения также с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учетом схем водоснабжения и водоотведения.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2.11. Предприятие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представляет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информацию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плате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за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подключение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объекта капитального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строительства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сетям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инженерно-технического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обеспечения в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сроки определённые пунктом 2.7.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настоящего Регламента.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2.12. Выдача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технических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условий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или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информации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 плате за п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одключение объекта капитального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строительства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сетям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инженерно-технического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обеспечения осуществляется без взимания платы.</w:t>
      </w:r>
    </w:p>
    <w:p w:rsidR="00E1300F" w:rsidRDefault="00E1300F" w:rsidP="00E1300F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01538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3. Заключение договора на технологическое присоединение.</w:t>
      </w:r>
    </w:p>
    <w:p w:rsidR="00E1300F" w:rsidRDefault="00E1300F" w:rsidP="00E1300F">
      <w:pP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Для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заключения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договора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подключении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   получения    условий  подключения заявитель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направляет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предприятие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заявление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подключении,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содержащее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полное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 сокращенное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наименования заявителя (для физических лиц - фамилия, имя, о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тчество), его местонахождение и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почтовый адрес, наименование подключаемого объекта и кадастров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ый номер земельного участка,   на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котором располагается подключаемый объект, данные о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б общей подключаемой нагрузке с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приложением следующих документов: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а) копии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учредительных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документов,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</w:t>
      </w:r>
      <w:proofErr w:type="gramEnd"/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также документы,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подтверждающие полномочия лица,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подписавшего заявление;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б) заверенные копии правоустанавливающих документов на земельный участок;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в) ситуационный план расположения объекта с привязкой к территории населенного пункта;</w:t>
      </w:r>
      <w:r w:rsidRPr="0001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г) топографическая карта участка в масштабе 1:500 (со всеми наземными и подземными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коммуникациями и сооружениями), согласованная с эксплуатирующими организациями;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д) информация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сроках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строительства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(реконструкции)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ввода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экспл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уатацию строящегося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(реконструируемого) объекта;</w:t>
      </w:r>
      <w:proofErr w:type="gramEnd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е) баланс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водопотребления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водоотведения подключаемого объекта с указанием целей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использования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холодной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воды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распределением объемов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подключаемой нагрузки по целям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использования,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 том числе на пожаротушение, периодические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нужды, заполнение и опорожнение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бассейнов, прием поверхностных сточных вод;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ж) сведения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составе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свойствах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сточных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вод,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намеченных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 отведению в централизованную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систему водоотведения;</w:t>
      </w:r>
      <w:proofErr w:type="gramEnd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з) сведения о назначении объекта, высоте и об этажности зданий, строений, сооружений.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случае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если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з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аявитель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ранее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предоставлял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указанные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выше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документы</w:t>
      </w:r>
      <w:proofErr w:type="gramEnd"/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 получении условий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подключения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 сведения,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содержащиеся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этих 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докум</w:t>
      </w:r>
      <w:r w:rsidR="0075534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ентах, не изменились, повторное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предоставление документов не требуется.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3.2. Поступившее заявление подлежит регистрации предприятия.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3.3. Предприятие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течение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3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рабочих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дней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после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получения (регис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трации)  заявления о подключении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 соответствующего пакета документов: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- рассматривает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полученные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документы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проверяет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их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соответствие пе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речню, указанному  в  пункте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3.1.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настоящего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Регламента, а также соответствие представле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нного баланса   водопотребления   и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водоотведения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назначению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объекта,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высоте и этажност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 зданий, строений и сооружений;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определяет,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какому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объекту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(участку сети)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централизованных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истем холодного водоснабжения   и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(или)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водоотведения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должно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осуществляться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подключение (технологическое присоединение);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- оценивает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техническую возможность подключения (технологич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еского присоединения) и наличие    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мероприятий,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обеспечивающих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такую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техническую возможность,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в инвестиционной программе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предприятия.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3.4. В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случае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некомплектности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представленных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документов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или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несоответствия представленного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баланса водопотребления и водоотведения назначению объекта, высоте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 этажности зданий,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строений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сооружений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предприятие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готовит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отказ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заявителю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 принятии документов к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рассмотрению.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Предприятие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течение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20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рабочих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дней возвращает их заявит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елю с указанием причин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отказа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рассмотрении,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 том числе направляет заявителю предл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ож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ения по корректировке баланса водопотребления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 водоотведения.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3.5.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случае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принятия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документов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заявителя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 рассмотрению и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наличия технической возможности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подключения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(технологического присоединения),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также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при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словии наличия   в   инвестиционных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программах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мероприятий,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обеспечивающих техн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ическую возможность  подключения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(технологического присоединения), предприятие в течение 20 ра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бочих дней направляет заявителю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подписанный договор о подключении с приложением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технических  условий подключения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(технологического присоединения) и расчета платы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за подключение (технологическое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присоединение).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3.6.</w:t>
      </w:r>
      <w:proofErr w:type="gramEnd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условиях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подключения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(технологического присоедине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ния)   к централизованной системе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холодного водоснабжения должны быть указаны: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а) срок действия условий подключения (технологического присоединения);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б) точка подключения (технологического присоединения) (адрес, координаты);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в) технические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требования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 объектам капитального строительства заявителя, в том числе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 xml:space="preserve">к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устройствам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сооружениям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для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подключения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(технологиче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ского присоединения), а   также к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выполняемым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заявителем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мероприятиям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для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осуществления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подключения (технологического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присоединения);</w:t>
      </w:r>
      <w:proofErr w:type="gramEnd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г) гарантируемый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свободный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напор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месте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подключения (технологического присоедине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ния) и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геодезическая отметка верха трубы;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д) разрешаемый отбор объема холодной воды и режим водопотребления (отпуска);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е) требования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установке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приборов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учета воды и устройству у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зла учета (требования к прибору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учета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воды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не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должны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содержать указания на определ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енные марки приборов и методики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измерения);</w:t>
      </w:r>
      <w:proofErr w:type="gramEnd"/>
      <w:r w:rsidRPr="0001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ж) требования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обеспечению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соблюдения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условий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пожарной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безопасности и подаче расчетных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расходов холодной воды для пожаротушения;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з) перечень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мер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рациональному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использованию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холодной воды,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имеющий реком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ендательный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характер;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и) границы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эксплуатационной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ответственности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водопроводным 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сетам</w:t>
      </w:r>
      <w:r w:rsidR="004920E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МУП «ТРАНСПОРТ»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 заявителя.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3.7.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условиях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подключения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(технологического присоеди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нения)  централизованной системе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водоотведения должны быть указаны: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а) срок действия условий подключения (технологического присоединения);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б) точка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подключения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(технологического присоединения)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(а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дрес, номер колодца или камеры,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координаты);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в) технические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требования к объектам капитального-строите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льства заявителя, в том числе к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устройствам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сооружениям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для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подключения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(технологичес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кого присоединения), а  также  к,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выполняемым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заявителем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мероприятиям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для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осуществления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подключения (технологического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присоединения);</w:t>
      </w:r>
      <w:proofErr w:type="gramEnd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г) отметки лотков в местах подключения (технологического присоединения)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д) нормативы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водоотведения,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требования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составу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свойств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ам сточных вод, режим отведения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сточных вод;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е) требования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 устройствам, предназначенным для отбора проб и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учета объема и свойств сточных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вод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(требования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приборам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учета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объема сточных вод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не должны содержать указания на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определенные марки приборов и методики измерения);</w:t>
      </w:r>
      <w:proofErr w:type="gramEnd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ж) требования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 сокращению сброса сточных вод, загря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зняющих веществ, иных веществ и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микроорганизмов, которые должны быть учтены в плане снижения сбросов;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з) границы эксплуатационной ответственности по сетям водоотведения предприятия и заявителя.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З.8. Договор о подключении является публичным.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3.9. Внесение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заявителем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платы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подключение (технологическ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ое присоединение) по договору о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подключении осуществляется в следующем порядке: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а) 15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процентов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платы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подключение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(технологическое присоединение)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вносится в течение 15 дней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 дня заключения договора о подключении;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б) 50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процентов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платы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за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подключение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(технологическое присоединение)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вносится в течение   90    дней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дня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заключения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договора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подключении, но не позднее даты фа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ктического подключения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(технологического присоединения);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в) 35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процентов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платы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за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подключение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(технологическое присоедине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ние) вносится в течение   15 дней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дня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подписания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сторонами акта о присоединении, фиксир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ующего техническую    готовность   к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подаче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ресурсов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объекты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заказчика,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но не позднее выполнения условий подачи ресурсов и (или)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отведения (приема) сточных вод.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случае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если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сроки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фактического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присоединения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объекта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заявителя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не соблюдаются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связи   с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действиями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(бездействием)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заявителя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структурными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подразделе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ниями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предприятия 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выполнены 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все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необходимые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для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создания технической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возможност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подключения  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(технологического 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присоединения)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осуществления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фактического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присоединения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мер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оприятия, 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оставшаяся 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доля  платы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вносится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заявителем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не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позднее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срока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подключения (технологичес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кого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присоединения) по договору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 подключении.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случае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неисполнения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либо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ненадлежащего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исполнения за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явителем обязательств по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оплате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предусмотрена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уплата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неустойки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от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суммы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задолженности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за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каждый день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просрочки     в     размере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двукратной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ставки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рефинансирования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(учетной ставки) Центральн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ого банка Российской Федерации,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установленной на день предъявления.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Плата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подключение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(технологическое присоединение)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объекта,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определяется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на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основании установленных тарифов на подключение (технологическое пр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исоединение) или в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индивидуальном порядке.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Размер платы за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подключение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рассчитывается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исходя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из установленных тарифов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на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подключение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(технологическое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присоединение)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учетом величины подключаемой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(технологически присоединяемой)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нагрузки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расстояния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от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точки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подключения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(технологического присоединения) объекта заявителя, в том числе водопроводных и (или)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канализационных сетей заявителя,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 точки подключения к цент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рализованным системам холодного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водоснабжения и (или) водоотведения.</w:t>
      </w:r>
      <w:r w:rsidRPr="0001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Проект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договора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подключении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должен быть подписан заяви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телем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течение 20 рабочих дней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после его получения.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Для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заключения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договора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подключении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истечении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этого срока, но в течение срока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действия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технических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условий,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заявитель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вправе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повторно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обратиться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 заявлением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чении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(технологическом присоединении),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этом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повто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рного представления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документов,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предусмотренных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пунктом 3.1.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настоящего Регламента,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не требуется,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если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фактические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обстоятельства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день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подачи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нового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заявления по сравнению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 указанными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представленны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х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463C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ранее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документах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не изменились и являются актуальными на</w:t>
      </w:r>
      <w:proofErr w:type="gramEnd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день повторного представления.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Предприятие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представляет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заявителю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подписанный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проект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договора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 подключении в течение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20 рабочих дней со дня получения повторного обращения.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3.10. Заявитель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подписывает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2 экземпляра проекта договора о под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ключении и в течени</w:t>
      </w:r>
      <w:proofErr w:type="gramStart"/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</w:t>
      </w:r>
      <w:proofErr w:type="gramEnd"/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10   рабочих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дней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направляет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1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экземпляр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адрес предприятия с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приложением к нему документов,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подтверждающих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полномочия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лица, подписавшего договор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 подключении, если ранее такие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документы не представлялись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3.11. Предприятие осуществляет регистрацию договоров.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3.12. Предприятие осуществляет контроль за соблюдением сроков и выполнением мероприятий ТУ.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p w:rsidR="00E1300F" w:rsidRDefault="00E1300F" w:rsidP="00E1300F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01538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4. Заключение договора на технологическое присоединение в случае отсутствия технической</w:t>
      </w:r>
      <w:r w:rsidRPr="0001538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01538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возможности присоединения.</w:t>
      </w:r>
    </w:p>
    <w:p w:rsidR="00E1300F" w:rsidRPr="00E1300F" w:rsidRDefault="00E1300F" w:rsidP="00E1300F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4.1. Техническая возможность подключения существует при наличии: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резерва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пропускной способности сетей, обеспечивающих передачу необходимого объема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воды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(стоков);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резерва мощности по производству ресурса (дополнительного объема воды) и по очистке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увеличенного объема сточных вод.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4.2. </w:t>
      </w:r>
      <w:proofErr w:type="gramStart"/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отсутствии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технической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возможности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подключения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технологического присоединения)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вследствие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отсутствия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свободной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мощности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(пропускной способ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ности сетей   и   сооружений)   и   при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отсутствии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резерва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мощности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производству соответств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ующего ресурса, необходимых для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осуществления холодного водоснабжения и (или)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во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доотведения,   и   при    отсутствии   в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инвестиционной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программе мероприятий, обеспечивающих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техн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ическую       возможность      подключения  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(технологического присоединения),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предприятие,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течение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30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дней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со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дня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поступления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обращения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заявителя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обращается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уполномоченный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орган</w:t>
      </w:r>
      <w:proofErr w:type="gramEnd"/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исполнительной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власти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субъекта Российской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Федерации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предложением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включении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инвест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иционную программу мероприятий,   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обеспечивающих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техническую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возможность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подключения (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технологического  присоединения)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объекта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капитального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строительства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заявителя,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 устан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овлении индивидуальной платы за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подключение (технологическое присоединение) и об учете рас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ходов,  связанных  с  подключением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(технологическим присоединением), при установлении тарифо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этой организации на очередной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период регулирования.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4.3. В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случае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отсутствия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дату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обращения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заявителя утвер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жденных в установленном порядке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тарифов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подключение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(технологическое присоединение),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но при включении мероприятий по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увеличению мощности и (или) пропускной способности сети инж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енерно-технического   обеспечения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утвержденную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инвестиционную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программу организаци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 водопроводно-канализационного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хозяйства,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заключение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договора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подключении откладывается до момента установления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указанных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тарифов.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4.4. </w:t>
      </w:r>
      <w:proofErr w:type="gramStart"/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Уполномоченный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орган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исполнительной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власти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субъекта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Российской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Федерации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 течение 30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дней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дня поступления указанного в 4.2. настоящего Регламент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 обращения рассматривает  такое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обращение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принимает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решение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 включении в инвести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ционную программу   мероприятий,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обеспечивающих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техническую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возможность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подключения (тех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нологического    присоединения),     о 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применении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тарифа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на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подключение (технологическое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присоеди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нение)    или   индивидуальной     платы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за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подключение (технологическое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присоединение)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определяет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финансовые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потребности,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необходимые для обеспечения технической</w:t>
      </w:r>
      <w:proofErr w:type="gramEnd"/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возможности подключения (технологического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присоединения),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или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принимает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решение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об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отказе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во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включении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инвестиционную программу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указанных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мероприятий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обоснованием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принятого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решения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на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правляет уведомление о принятом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решении в адрес предприятия.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4.5. </w:t>
      </w:r>
      <w:proofErr w:type="gramStart"/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случае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принятия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уполномоченным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органом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исполнительной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власти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субъекта Российской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Федерации решения о включении в инвестиционную программу мероприятий, обеспечивающих</w:t>
      </w:r>
      <w:r w:rsidR="002D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техническую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возможность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подключения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(технологичес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кого присоединения),   финансовые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потребности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предприятия, необходимые для обеспечения техн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ической возможности подключения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(технологического присоединения), учитываются при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устан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овлении     индивидуальной     платы     за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подключение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(технологическое присоединение)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или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тарифов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предприятия  на  очередной  период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регулирования,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сроки осуществления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подключения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технологического присоединения)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устанавливаются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соответствии со сроками</w:t>
      </w:r>
      <w:proofErr w:type="gramEnd"/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завершения реализации этих мероприятий.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4.6. Предприятие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направляет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заявителю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проект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договора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 по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дключении и условия подключения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(технологического присоединения)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не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позднее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10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рабочих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дней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после внесения изменений   в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инвестиционную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программу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определения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размера платы 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за подключение (технологическое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присоединение).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4.7. Проект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договора о подключении должен быть подписан заявите</w:t>
      </w:r>
      <w:r w:rsidR="002D761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лем в течение 30 дней после его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получения предприятия.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случае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если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заявитель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не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представил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подписанный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договор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 подключении  в указанный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срок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либо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предложение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изменении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представленного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проекта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дог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овора о подключении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части,    не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противоречащей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положениям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Федерального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закона "О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 xml:space="preserve">водоснабжении и водоотведении"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условиям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типо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вого   договора,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  <w:t xml:space="preserve">утверждаемого       Правительством </w:t>
      </w:r>
      <w:r w:rsidR="00AA140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Российской 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Федерации,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предприятие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информирует заявителя: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</w:p>
    <w:p w:rsidR="00E1300F" w:rsidRPr="00E1300F" w:rsidRDefault="00E1300F" w:rsidP="00E1300F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а) об отказе подписания договора о подключении;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</w:p>
    <w:p w:rsidR="00E1300F" w:rsidRPr="00E1300F" w:rsidRDefault="00367792" w:rsidP="0036779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б) об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увеличении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срока осуществления подключения (технологического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присоединения),</w:t>
      </w:r>
    </w:p>
    <w:p w:rsidR="00E1300F" w:rsidRPr="00E1300F" w:rsidRDefault="00367792" w:rsidP="00E1300F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предусмотренного</w:t>
      </w:r>
      <w:proofErr w:type="gramEnd"/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договором о подключении;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</w:p>
    <w:p w:rsidR="00E1300F" w:rsidRPr="00E1300F" w:rsidRDefault="00367792" w:rsidP="00E1300F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в) предприятие    направляет    в  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орган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исполнительной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власти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субъекта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Россий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ской Федерации  предложения  исключению  по  техническую  из  инвестиционной  программы мероприятий,       обеспечивающих    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возможность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подключения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(технологического присоединения), или из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менению сроков реализации таких мероприятий.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</w:p>
    <w:p w:rsidR="00E1300F" w:rsidRDefault="00367792" w:rsidP="0036779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4.8. </w:t>
      </w:r>
      <w:proofErr w:type="gramStart"/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Подключение (технологическое присо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единение) объекта  капитального строительства, в     том   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числе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водопроводных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(или)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канализационных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сетей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заявителя,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централизованным   системам   холодного   водоснабжения   и   (или)   водоотведения  при наличии   на 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дключения   день   заключения   договора   о   подключении   технической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возможности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(технологического присоединения)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осуществляется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срок,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который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не может превышать 18 месяцев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 дня заключен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ия договора о подключении, если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: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более длительные сроки не указаны в заявке заявителя</w:t>
      </w:r>
      <w:proofErr w:type="gramEnd"/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или в договоре;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E1300F"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заявитель сам отказался от подписания дог</w:t>
      </w:r>
      <w:r w:rsid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овора после установления тарифа.</w:t>
      </w:r>
    </w:p>
    <w:p w:rsidR="00367792" w:rsidRDefault="00367792" w:rsidP="0036779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E1300F" w:rsidRDefault="00E1300F" w:rsidP="00E1300F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01538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5. Присоединение объекта к сетям водоснабжения и водоотведения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1300F" w:rsidRDefault="00E1300F" w:rsidP="00E1300F">
      <w:pP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5.1. Фактическое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подключение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объекта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централизованной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системе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холодного водосн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абжения  при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условии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выполнения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Сторонами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технических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условий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внесения платы за подключение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(технологическое присоединение).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5.2. Объект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считается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подключенным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централизованной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системе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холодного водоснабжения и (или)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водоотведения </w:t>
      </w:r>
      <w:proofErr w:type="gramStart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сторонами акта о подключе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нии, подтверждающего  выполнение 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сторонами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технических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условий и иных обязательств по договору о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подключении, и подписания акта </w:t>
      </w:r>
      <w:r w:rsidRPr="0001538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 разграничении балансовой принадлежности сетей.</w:t>
      </w:r>
    </w:p>
    <w:p w:rsidR="00E1300F" w:rsidRDefault="00E1300F" w:rsidP="00E1300F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01538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6. Выполнение условий подачи ресурсов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1300F" w:rsidRPr="00291E4E" w:rsidRDefault="00E1300F" w:rsidP="00E1300F"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6.1. Водоснабжение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 (или) водоотведение объекта осуществляется </w:t>
      </w:r>
      <w:r w:rsidR="00430D3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МУП «ТРАНСПОРТ»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после   подписания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сторонами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акта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подключении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объекта,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акта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подаче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ресурса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 заключения   договора   холодного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водоснабжения,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договора водоотведения или единого дог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овора   холодного   водоснабжения   и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водоотведения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даты,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определенной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таким договором.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роцедура   заключения   договора    на 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водоснабжение 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</w:t>
      </w:r>
      <w:r w:rsidR="003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Pr="00E130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водоотведение осуществляется на основании действующего законодательства.</w:t>
      </w:r>
    </w:p>
    <w:sectPr w:rsidR="00E1300F" w:rsidRPr="0029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D5"/>
    <w:rsid w:val="00291E4E"/>
    <w:rsid w:val="002D7618"/>
    <w:rsid w:val="00367792"/>
    <w:rsid w:val="00430D3C"/>
    <w:rsid w:val="00463C40"/>
    <w:rsid w:val="004920E5"/>
    <w:rsid w:val="00530C7C"/>
    <w:rsid w:val="00755344"/>
    <w:rsid w:val="00AA140D"/>
    <w:rsid w:val="00B36522"/>
    <w:rsid w:val="00C41076"/>
    <w:rsid w:val="00E1300F"/>
    <w:rsid w:val="00E740D5"/>
    <w:rsid w:val="00F1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4420</Words>
  <Characters>25197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2021-04-23T02:10:00Z</dcterms:created>
  <dcterms:modified xsi:type="dcterms:W3CDTF">2021-04-23T04:19:00Z</dcterms:modified>
</cp:coreProperties>
</file>